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cadbcf5edf5414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29210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KRIJESNICA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258.199,63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358.247,93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215.745,97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324.296,75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42.453,66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33.951,18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24.135,64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8.044,36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24.135,64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34.409,30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9.815,54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28,5</w:t>
            </w:r>
          </w:p>
        </w:tc>
      </w:tr>
    </w:tbl>
    <w:p>
      <w:pPr>
        <w:spacing w:before="0" w:after="0"/>
      </w:pPr>
    </w:p>
    <w:p>
      <w:r>
        <w:t xml:space="preserve">Prihodi poslovanja za izvještajno razdoblje (01.01.-31.12.2025. godine) iznose 358.247,93 EUR. Riječ je o povećanju od 38% u odnosu na isto razdoblje prethodne godine, a radi povećanja uplata iz susjednih Općina radi povećanog broja upisane djece sa njihovog područja, a što je posljedično rezultiralo i otvaranjem nove grupe tako da su se i rashodi poslovanja povećali srazmjerno broju novozaposlenog kadra.  Radi se o prihodima iz Proračuna Grada 198.340,95 EUR (671), Pomoći unutar općeg proračuna 111.683,51 EUR -riječ je o sufinanciranju programa vrtića iz susjednih općina, a što je uređeno Sporazumom o sufinanciranju smještaja u dječji vrtić sa susjednim općinama, Prihodima od obavljanja djelatnost u iznosu 29.136,86 EUR, Ostalim prihodima u iznosu 2.786,61 EUR te Vlastiti prihodi u iznosu od 600,00 EUR. Vlastiti prihodi odnose se na prihode od iznajmljivanja imovine, a što je realizirano iznajmljivanjem prostora za obavljanje poslova predškole za djecu sa područja susjednih općina, a koja već nisu upisana u redoviti program.  Ukupni rashodi poslovanja iznose 324.296,75 EUR, a što je u odnosu na prošlogodišnje razdoblje povećanje od 50%. Rashodi poslovanja prate porast prihoda poslovanja radi ulaganja u opremanje i ulaganja u zaposlenike.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258.199,63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358.247,93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138,7</w:t>
            </w:r>
          </w:p>
        </w:tc>
      </w:tr>
    </w:tbl>
    <w:p>
      <w:pPr>
        <w:spacing w:before="0" w:after="0"/>
      </w:pPr>
    </w:p>
    <w:p>
      <w:r>
        <w:t xml:space="preserve">Ukupni prihodi poslovanja za izvještajno razdoblje porasli su za 38%,a prvenstveno iz razloga povećanog broja upisa djece iz susjednih Općina čime je povećana njihova participacija, te radi povećanja prihoda iz nadležnog proračuna radi porasta broja zaposlenih radi potrebe otvaranja nove grupe.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56.989,40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127.383,51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223,5</w:t>
            </w:r>
          </w:p>
        </w:tc>
      </w:tr>
    </w:tbl>
    <w:p>
      <w:pPr>
        <w:spacing w:before="0" w:after="0"/>
      </w:pPr>
    </w:p>
    <w:p>
      <w:r>
        <w:t xml:space="preserve">Porast prihoda u navedenom iznosu radi povećane participacije iz tekućih pomoći proračunskim korisnicima iz proračuna koji im nije nadležan, povećano sudjelovanje susjednih Općina u participaciji troškova radi povećanog broja upisane djece, a koje se nastavlja i u ovom izvještajnom razdoblju.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Dječji vrtić krijesnica sudjelovao je na javnom pozivu kojeg je raspisao Fond za zaštitu okoliša te je nakon uspješne realizacije ostvario kapitalnu pomoć u iznosu od 15.700,00 EUR za nabavljanje uređaja za sprječavanje nastanka BIOotpada.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Riječ je o prihodu od imovine, iznajmljivanje prostora susjednoj Općini za potrebe održavanja programa Predškole.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28.083,90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29.136,86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w:t>
            </w:r>
          </w:p>
        </w:tc>
      </w:tr>
    </w:tbl>
    <w:p>
      <w:pPr>
        <w:spacing w:before="0" w:after="0"/>
      </w:pPr>
    </w:p>
    <w:p>
      <w:r>
        <w:t xml:space="preserve">Riječ je o prihodu participacije roditeljima u cijeni vrtića. Djelomično je u porastu od 3% iz razloga većeg broja upisane djece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172.496,45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198.340,95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r>
        <w:t xml:space="preserve">Riječ je o prihodima iz nadležno proračuna, a koji su povećani za 15% u odnosu na isto razdoblje prošle godine. Riječ je o povećanju radi povećanja plaća djelatnicima, povećanog broja zaposlenih djelatnika radi otvaranje nove grupe te radi povećanja ostalih materijalnih prava zaposlenih u Dječjem vrtiću.</w:t>
      </w:r>
    </w:p>
    <w:p>
      <w:r>
        <w:t xml:space="preserv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9326,0</w:t>
            </w:r>
          </w:p>
        </w:tc>
      </w:tr>
    </w:tbl>
    <w:p>
      <w:pPr>
        <w:spacing w:before="0" w:after="0"/>
      </w:pPr>
    </w:p>
    <w:p>
      <w:r>
        <w:t xml:space="preserve">Riječ je o ostalim prihodima i to  radi naplate isporučenih viškova električne energije, a radi stavljanja u pogon solarne elektrane na krovište dječjeg vrtića.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215.745,97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324.296,75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150,3</w:t>
            </w:r>
          </w:p>
        </w:tc>
      </w:tr>
    </w:tbl>
    <w:p>
      <w:pPr>
        <w:spacing w:before="0" w:after="0"/>
      </w:pPr>
    </w:p>
    <w:p>
      <w:r>
        <w:t xml:space="preserve">Rashodi poslovanja za promatrano razdoblje povećani su u iznosu od 50% što odgovara i porastu prihoda za isto razdoblje. Rashodi su prvenstveno povećani u području rashoda za zaposlene te djelomično u području materijalnih rashoda, a sve radi otvaranja nove grupe, zapošljavanje novih djelatnika te povećane potrebe ostalih troškova potrebnih za normalno funkcioniranje dječjeg vrtića.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163.678,11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265.637,21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162,3</w:t>
            </w:r>
          </w:p>
        </w:tc>
      </w:tr>
    </w:tbl>
    <w:p>
      <w:pPr>
        <w:spacing w:before="0" w:after="0"/>
      </w:pPr>
    </w:p>
    <w:p>
      <w:r>
        <w:t xml:space="preserve">Porast u iznosu od 62% u odnosu na prošlogodišnje razdoblje - povećani broj zaposleni, povećanje plaće te ostalih materijalni prava zaposlenika.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16.387,24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149,9</w:t>
            </w:r>
          </w:p>
        </w:tc>
      </w:tr>
    </w:tbl>
    <w:p>
      <w:pPr>
        <w:spacing w:before="0" w:after="0"/>
      </w:pPr>
    </w:p>
    <w:p>
      <w:r>
        <w:t xml:space="preserve">Sukladno povećanju plaće srazmjerno se povećava i izdvajanje za doprinose za zdravstvo.</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872,4</w:t>
            </w:r>
          </w:p>
        </w:tc>
      </w:tr>
    </w:tbl>
    <w:p>
      <w:pPr>
        <w:spacing w:before="0" w:after="0"/>
      </w:pPr>
    </w:p>
    <w:p>
      <w:r>
        <w:t xml:space="preserve">Povećanje radi slanja zaposlenika na stručno usavršavanje te isplate troškova za korištenje privatnog automobila u službene svrhe.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32.663,09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36.977,39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Rashodi za materijale i energiju ostvareni su u blagom porastu iznosa u odnosu na prethodnu godinu, prati se potrošnja te se rade analize i racionaliziraju se troškovi.</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19.915,08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23.913,51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r>
        <w:t xml:space="preserve">Blago povećanje troškova u odnosu na isto razdoblje prošle godine, a radi povećanog broja upisane djece, potrebe za većom količinom hrane ali i većom cijenom samih namirnica.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233,7</w:t>
            </w:r>
          </w:p>
        </w:tc>
      </w:tr>
    </w:tbl>
    <w:p>
      <w:pPr>
        <w:spacing w:before="0" w:after="0"/>
      </w:pPr>
    </w:p>
    <w:p>
      <w:r>
        <w:t xml:space="preserve">Povećanje za usluge tekućeg i investicijskog održavanja radi potrebnih sitnih popravaka.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24.135,64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w:t>
            </w:r>
          </w:p>
        </w:tc>
      </w:tr>
    </w:tbl>
    <w:p>
      <w:pPr>
        <w:spacing w:before="0" w:after="0"/>
      </w:pPr>
    </w:p>
    <w:p>
      <w:r>
        <w:t xml:space="preserve">Rashodi za nabavu nefinancijske imovine u iznosu od 24.135,64 EUR u namijenjeni za opremanje prostorija nove grupe te nabava klima uređaja i uređaja za biootpad.</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272.060,60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293.423,80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bl>
    <w:p>
      <w:pPr>
        <w:spacing w:before="0" w:after="0"/>
      </w:pPr>
    </w:p>
    <w:p>
      <w:r>
        <w:t xml:space="preserve">Povećanje u obujmu imovine radi novonabavljene dugotrajne imovine.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17.665,94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35.256,94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199,6</w:t>
            </w:r>
          </w:p>
        </w:tc>
      </w:tr>
    </w:tbl>
    <w:p>
      <w:pPr>
        <w:spacing w:before="0" w:after="0"/>
      </w:pPr>
    </w:p>
    <w:p>
      <w:r>
        <w:t xml:space="preserve">Nabavljeni je uređaj za biootpad.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223.790,33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348.432,39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w:t>
            </w:r>
          </w:p>
        </w:tc>
      </w:tr>
    </w:tbl>
    <w:p>
      <w:pPr>
        <w:spacing w:before="0" w:after="0"/>
      </w:pPr>
    </w:p>
    <w:p>
      <w:r>
        <w:t xml:space="preserve">Povećanje u odnosu na isto razdoblje prošle godine od 55% što prati cijelokupan rast općenito i prihoda i rashoda, a u svezi povećanog broja upisane djece u predškolsku ustanovu, posljedično otvaranje nove grupe te povećanog broja zaposlenih djelatnika kako bi se zadovoljili svi uvjeti potrebni za funkcioniranje dječjeg vrtića.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iznose 1.690,21 EUR, dok je stanje nedospjelih obveza na kraju izvještajnog razdoblja 1.316,91 EUR. Riječ je o obvezama koje su dostavljene krajem promatranog razdoblja te su podmirene u prvom kvartalu 2026. godine. </w:t>
      </w:r>
    </w:p>
    <w:p/>
    <w:p>
      <w:pPr>
        <w:jc w:val="center"/>
        <w:pStyle w:val="Normal"/>
        <w:spacing w:line="240" w:lineRule="auto"/>
        <w:keepNext/>
      </w:pPr>
      <w:r>
        <w:rPr>
          <w:sz w:val="28"/>
          <w:rFonts w:ascii="Times New Roman" w:hAnsi="Times New Roman"/>
        </w:rPr>
        <w:t xml:space="preserve">Bilješka 21.</w:t>
      </w:r>
    </w:p>
    <w:p>
      <w:pPr>
        <w:jc w:val="both"/>
        <w:pStyle w:val="Normal"/>
        <w:spacing w:line="240" w:lineRule="auto"/>
      </w:pPr>
      <w:r>
        <w:rPr>
          <w:b/>
          <w:sz w:val="24"/>
          <w:rFonts w:ascii="Times New Roman" w:hAnsi="Times New Roman"/>
        </w:rPr>
        <w:t xml:space="preserve">EU izvještaj</w:t>
      </w:r>
    </w:p>
    <w:p>
      <w:r>
        <w:t xml:space="preserve">Dječji vrtić krijesnica sudjelovao je na javnom pozivu kojeg je raspisao Fond za zaštitu okoliša te je nakon uspješne realizacije ostvario kapitalnu pomoć u iznosu od 15.700,00 EUR za nabavljanje uređaja za sprječavanje nastanka BIOotpada.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96e06903d1d40ca" /></Relationships>
</file>