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cac3425eb4316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29197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GRAD HRVATSKA KOSTAJNICA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2.405.707,01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5.383.245,00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1.369.625,93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1.715.370,62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1.036.081,08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3.667.874,38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354,0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5.908,81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14.855,73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251,4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2.584.340,78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1.456.591,05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2.578.431,97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1.441.735,32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55,9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2.226.139,06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PRIHODI POSLOVANJA za razdoblje od 01. siječnja do 31. prosinca 2025. godine iznose ukupno 5.383.245,00 EUR što je 123% više u odnosu na isto razdoblje prošle godine, a radi realizacije projekata iz prethodnog razdoblja, a zatvaranja financijske konstrukcije u izvještajnom razdoblju te također prijenosa kapitalnih sredstava Ministarstva regionalnog razvoja, a koja su u planu za realizaciju sukladno ugovoru unutar godinu dana od prijenosa sredstava. Na povećanje prihoda djelomično utječe i povećanje prihoda na ime poreza na dohodak koji je u porastu 31% u odnosu na isto razdoblje prošle godine. Ostali prihodi poslovanja se u ovom izvještajnom razdoblju ostvaruju u skladu s planiranim te približno kao i u istom razdoblju prošle godine. RASHODI POSLOVANJA za razdoblje od 01. siječnja do 31. prosinca 2025. godine u blagom su porastu u odnosu na isto razdoblje prošle godine prvenstveno iz razloga realizacije projekata i radi projekta "Zaželi". Višak prihoda i primitaka nad rashodima i izdacima ostvaren u izvještajnom razdoblju rezultat je mjera uštede i racionalizacije troškova poslovanja čime utječemo na podmirivanje obveza iz prethodnih razdoblja.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od nesamostalnog rada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558.790,17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734.701,88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131,5</w:t>
            </w:r>
          </w:p>
        </w:tc>
      </w:tr>
    </w:tbl>
    <w:p>
      <w:pPr>
        <w:spacing w:before="0" w:after="0"/>
      </w:pPr>
    </w:p>
    <w:p>
      <w:r>
        <w:t xml:space="preserve">Porast od 31% u ovom razdoblju u odnosu na isto razdoblje prošle godine, a radi generalnog porasta plaća.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Porezi na imovinu (šifre 6131 do 6135)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29.629,78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23.968,93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80,9</w:t>
            </w:r>
          </w:p>
        </w:tc>
      </w:tr>
    </w:tbl>
    <w:p>
      <w:pPr>
        <w:spacing w:before="0" w:after="0"/>
      </w:pPr>
    </w:p>
    <w:p>
      <w:r>
        <w:t xml:space="preserve">Porezi na imovinu su u blagom padu u odnosu na isto razdoblje prošle godine, ali i dalje se ostvaruju sukladno planiranom.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promet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12.685,47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16.258,84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128,2</w:t>
            </w:r>
          </w:p>
        </w:tc>
      </w:tr>
    </w:tbl>
    <w:p>
      <w:pPr>
        <w:spacing w:before="0" w:after="0"/>
      </w:pPr>
    </w:p>
    <w:p>
      <w:r>
        <w:t xml:space="preserve">Porast u odnosu na isto razdoblje prošle godine, a radi naplaćenih poreza/povećane potrošnje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1.654.787,59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4.438.143,07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268,2</w:t>
            </w:r>
          </w:p>
        </w:tc>
      </w:tr>
    </w:tbl>
    <w:p>
      <w:pPr>
        <w:spacing w:before="0" w:after="0"/>
      </w:pPr>
    </w:p>
    <w:p>
      <w:r>
        <w:t xml:space="preserve">Porast radi zatvaranja financijske konstrukcije projekata koji su realizirani u 2024. godini. Također i radi prijenosa sredstava Ministarstva regionalnog razvoja čija se realizacija sukladno Ugovoru planira u sljedećih godinu dana.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institucija i tijela EU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240.272,80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279.693,20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116,4</w:t>
            </w:r>
          </w:p>
        </w:tc>
      </w:tr>
    </w:tbl>
    <w:p>
      <w:pPr>
        <w:spacing w:before="0" w:after="0"/>
      </w:pPr>
    </w:p>
    <w:p>
      <w:r>
        <w:t xml:space="preserve">Realizacija sukladno planiranom obzirom na podnošenje ZNS-a za program Zaželi.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izvanproračunskih korisnika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18.219,97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53.824,56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295,4</w:t>
            </w:r>
          </w:p>
        </w:tc>
      </w:tr>
    </w:tbl>
    <w:p>
      <w:pPr>
        <w:spacing w:before="0" w:after="0"/>
      </w:pPr>
    </w:p>
    <w:p>
      <w:r>
        <w:t xml:space="preserve">Tekuće pomoći za realizaciju programa Javnih radova kojih u istom razdoblju prošle godine nije bilo.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fiskalnog izravnanja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526.439,32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Pomoći od fiskalnog izravnanja ostvaruje se u skladu s planiranim sredstvima.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64.984,22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64.359,60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99,0</w:t>
            </w:r>
          </w:p>
        </w:tc>
      </w:tr>
    </w:tbl>
    <w:p>
      <w:pPr>
        <w:spacing w:before="0" w:after="0"/>
      </w:pPr>
    </w:p>
    <w:p>
      <w:r>
        <w:t xml:space="preserve">Prihodi od imovine ostvaruju se u ovom razdoblju približno kao i u istom razdoblju prošle godine, a prema planiranom.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zakupa i iznajmljivanja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13.896,66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15.474,16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111,4</w:t>
            </w:r>
          </w:p>
        </w:tc>
      </w:tr>
    </w:tbl>
    <w:p>
      <w:pPr>
        <w:spacing w:before="0" w:after="0"/>
      </w:pPr>
    </w:p>
    <w:p>
      <w:r>
        <w:t xml:space="preserve">Porast u prihodima od zakupa i iznajmljivanja imovine iz razloga što je u ovom izvještajnom razdoblju iznajmljeno više poslovnih prostora nego u istom razdoblju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šume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22.780,25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Realizacija povećana u odnosu na isto razdoblje prošle godine, a radi prihoda od doprinosa za šume u ovom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Komunalni doprinosi i naknade (šifre 6531 do 6533)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77.162,23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80.518,04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104,3</w:t>
            </w:r>
          </w:p>
        </w:tc>
      </w:tr>
    </w:tbl>
    <w:p>
      <w:pPr>
        <w:spacing w:before="0" w:after="0"/>
      </w:pPr>
    </w:p>
    <w:p>
      <w:r>
        <w:t xml:space="preserve">Blagi porast u naplati komunalne naknade radi provođenja mjera za naplatu potraživanja.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1.369.625,93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1.715.370,62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125,2</w:t>
            </w:r>
          </w:p>
        </w:tc>
      </w:tr>
    </w:tbl>
    <w:p>
      <w:pPr>
        <w:spacing w:before="0" w:after="0"/>
      </w:pPr>
    </w:p>
    <w:p>
      <w:r>
        <w:t xml:space="preserve">Općenito su rashodi poslovanja za promatrani period u blagom su porastu u odnosu na isto razdoblje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338.443,83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536.332,56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158,5</w:t>
            </w:r>
          </w:p>
        </w:tc>
      </w:tr>
    </w:tbl>
    <w:p>
      <w:pPr>
        <w:spacing w:before="0" w:after="0"/>
      </w:pPr>
    </w:p>
    <w:p>
      <w:r>
        <w:t xml:space="preserve">Znatan porast rashoda za zaposlene u ovom izvještajno razdoblju od 58% iz razloga trajanja projekta "Zaželi", Programa Javnih radova te radi porasta plaća povodom usklađivanja osnovice sa osnovicom državnih službenika i namještenika.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51.363,02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86.351,33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168,1</w:t>
            </w:r>
          </w:p>
        </w:tc>
      </w:tr>
    </w:tbl>
    <w:p>
      <w:pPr>
        <w:spacing w:before="0" w:after="0"/>
      </w:pPr>
    </w:p>
    <w:p>
      <w:r>
        <w:t xml:space="preserve">Sukladno porastu plaće porast i doprinosa za zdravstvo u ovom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148.242,75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118.514,60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79,9</w:t>
            </w:r>
          </w:p>
        </w:tc>
      </w:tr>
    </w:tbl>
    <w:p>
      <w:pPr>
        <w:spacing w:before="0" w:after="0"/>
      </w:pPr>
    </w:p>
    <w:p>
      <w:r>
        <w:t xml:space="preserve">Redukcija troškova vezana za komunalne usluge, a radi progama Javnih radova.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55.694,04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121.766,89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218,6</w:t>
            </w:r>
          </w:p>
        </w:tc>
      </w:tr>
    </w:tbl>
    <w:p>
      <w:pPr>
        <w:spacing w:before="0" w:after="0"/>
      </w:pPr>
    </w:p>
    <w:p>
      <w:r>
        <w:t xml:space="preserve">Značajan porast rashoda vezanih za intelektualne usluge radi obavljanja poslova provođenja postupka javne nabave.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8.767,32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36.787,59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419,6</w:t>
            </w:r>
          </w:p>
        </w:tc>
      </w:tr>
    </w:tbl>
    <w:p>
      <w:pPr>
        <w:spacing w:before="0" w:after="0"/>
      </w:pPr>
    </w:p>
    <w:p>
      <w:r>
        <w:t xml:space="preserve">Porast  radi  realizacije troškova izbora.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proračunskim korisnicima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252.332,10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321.191,88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127,3</w:t>
            </w:r>
          </w:p>
        </w:tc>
      </w:tr>
    </w:tbl>
    <w:p>
      <w:pPr>
        <w:spacing w:before="0" w:after="0"/>
      </w:pPr>
    </w:p>
    <w:p>
      <w:r>
        <w:t xml:space="preserve">Porast prijenosa sredstava za financiranje redovne djelatnosti proračunskih korisnika radi povećanja plaći i ostalih materijalnih prava, povećanog broja zaposlenih djelatnika radi otvaranja nove grupe u dječjem vrtiću.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novcu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184.190,09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228.850,23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124,2</w:t>
            </w:r>
          </w:p>
        </w:tc>
      </w:tr>
    </w:tbl>
    <w:p>
      <w:pPr>
        <w:spacing w:before="0" w:after="0"/>
      </w:pPr>
    </w:p>
    <w:p>
      <w:r>
        <w:t xml:space="preserve">U ovom izvještajnom razdoblju na natječaj Grada Hrvatske Kostajnice za javne potrebe za udruge (Kultura, sport, osjetljive skupine) prijavilo se više udruga te je do kraja godine realziran u ovom iznosu.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kreditnim i ostalim financijskim institucijama te trgovačkim društvima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Kapitalna pomoć koja je dana trgovačkom društvu EKOS d.o.o. Hrvatska Kostajnica čiji je osnivač Grad Hrvatska Kostajnica, a kako bi mogao realizirati aplicirane programe.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5.908,81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14.855,73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251,4</w:t>
            </w:r>
          </w:p>
        </w:tc>
      </w:tr>
    </w:tbl>
    <w:p>
      <w:pPr>
        <w:spacing w:before="0" w:after="0"/>
      </w:pPr>
    </w:p>
    <w:p>
      <w:r>
        <w:t xml:space="preserve">Realizacija prihoda od prodaje nefinancijske imovine povećana u ovom izvještajnom razdoblju radi prodaje službenog automobila nakon provedenog Javnog poziva i odobrenja Gradskog vijeća.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2.584.340,78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1.456.591,05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56,4</w:t>
            </w:r>
          </w:p>
        </w:tc>
      </w:tr>
    </w:tbl>
    <w:p>
      <w:pPr>
        <w:spacing w:before="0" w:after="0"/>
      </w:pPr>
    </w:p>
    <w:p>
      <w:r>
        <w:t xml:space="preserve">Realizacija kapitalnih projekata u ovom izvještajnom razdoblju manja je u odnosu na isto razdoblje prošle godine ali se odvija u skladu s planom. Najveće ulaganje odnosi se na ceste i ostale prometne objekte.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13.602.756,99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17.512.258,49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128,7</w:t>
            </w:r>
          </w:p>
        </w:tc>
      </w:tr>
    </w:tbl>
    <w:p>
      <w:pPr>
        <w:spacing w:before="0" w:after="0"/>
      </w:pPr>
    </w:p>
    <w:p>
      <w:r>
        <w:t xml:space="preserve">Porast imovine u odnosu na prošlu godinu, a radi kapitalnih ulaganja u istu prvenstveno u ceste na području Grada Hrvatske Kostajnice.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Financijska imovina (šifre 11+12+13+14+15+16+17+19)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2.908.055,38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5.158.644,90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177,4</w:t>
            </w:r>
          </w:p>
        </w:tc>
      </w:tr>
    </w:tbl>
    <w:p>
      <w:pPr>
        <w:spacing w:before="0" w:after="0"/>
      </w:pPr>
    </w:p>
    <w:p>
      <w:r>
        <w:t xml:space="preserve">Porast financijske imovine u promatranom razdoblju, a radi financijskih sredstava na tekućem računu. Riječ je o sredstvima koja su dana 31.12.2025. godine prebačena sa Ministarstva regionalnog razvoja koja će biti utrošena po realizaciji Ugovora.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pasiva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621.553,01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2.946.553,01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474,1</w:t>
            </w:r>
          </w:p>
        </w:tc>
      </w:tr>
    </w:tbl>
    <w:p>
      <w:pPr>
        <w:spacing w:before="0" w:after="0"/>
      </w:pPr>
    </w:p>
    <w:p>
      <w:r>
        <w:t xml:space="preserve">Povećanje izbosa izvanbilančnih zapisa, a radi izdanih bjanko zadužnica za razdoblje 2025. doine. Ponajviše se radi o bjanko zadužnicama izdanim na ime Ugovora potpisanog sa Ministarstvom regionalnog razvoja.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189.227,67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kraju izvještajnog razdoblja odraz su redovitog podmirivanja obveza, ali i realizacije novih projekata koji stvaraju nove obveze koje će biti podmirene u sljedećem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EU izvještaju zabilježeni su prihodi i rashodi koje imamo temeljem prijenosa EU sredstava za realizaciju projekta "Zaželi" iz Europskog socijalnog programa plus, a koji završava sa krajem 2026. godine. Također Europski fond za regionalni razvoj za realizaciju projekata za rekonstrukciju cesti na području Grada Hrvatske Kostajnice.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d92c4142524bf0" /></Relationships>
</file>